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zew01x2tb0zq" w:id="0"/>
      <w:bookmarkEnd w:id="0"/>
      <w:r w:rsidDel="00000000" w:rsidR="00000000" w:rsidRPr="00000000">
        <w:rPr>
          <w:rtl w:val="0"/>
        </w:rPr>
        <w:t xml:space="preserve">Présentation de NaturalPad</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Date de création : </w:t>
      </w:r>
      <w:r w:rsidDel="00000000" w:rsidR="00000000" w:rsidRPr="00000000">
        <w:rPr>
          <w:rtl w:val="0"/>
        </w:rPr>
        <w:t xml:space="preserve">01/08/2013</w:t>
      </w:r>
    </w:p>
    <w:p w:rsidR="00000000" w:rsidDel="00000000" w:rsidP="00000000" w:rsidRDefault="00000000" w:rsidRPr="00000000" w14:paraId="00000004">
      <w:pPr>
        <w:rPr/>
      </w:pPr>
      <w:r w:rsidDel="00000000" w:rsidR="00000000" w:rsidRPr="00000000">
        <w:rPr>
          <w:b w:val="1"/>
          <w:rtl w:val="0"/>
        </w:rPr>
        <w:t xml:space="preserve">Secteur d’activité : </w:t>
      </w:r>
      <w:r w:rsidDel="00000000" w:rsidR="00000000" w:rsidRPr="00000000">
        <w:rPr>
          <w:rtl w:val="0"/>
        </w:rPr>
        <w:t xml:space="preserve">Développement et édition de jeux vidéo et applications pour la santé</w:t>
      </w:r>
    </w:p>
    <w:p w:rsidR="00000000" w:rsidDel="00000000" w:rsidP="00000000" w:rsidRDefault="00000000" w:rsidRPr="00000000" w14:paraId="00000005">
      <w:pPr>
        <w:rPr/>
      </w:pPr>
      <w:r w:rsidDel="00000000" w:rsidR="00000000" w:rsidRPr="00000000">
        <w:rPr>
          <w:b w:val="1"/>
          <w:rtl w:val="0"/>
        </w:rPr>
        <w:t xml:space="preserve">Produits : </w:t>
      </w:r>
      <w:r w:rsidDel="00000000" w:rsidR="00000000" w:rsidRPr="00000000">
        <w:rPr>
          <w:rtl w:val="0"/>
        </w:rPr>
        <w:t xml:space="preserve">MediMoov, Beat Workers, aBeat, BAASTA</w:t>
      </w:r>
    </w:p>
    <w:p w:rsidR="00000000" w:rsidDel="00000000" w:rsidP="00000000" w:rsidRDefault="00000000" w:rsidRPr="00000000" w14:paraId="00000006">
      <w:pPr>
        <w:rPr/>
      </w:pPr>
      <w:r w:rsidDel="00000000" w:rsidR="00000000" w:rsidRPr="00000000">
        <w:rPr>
          <w:b w:val="1"/>
          <w:rtl w:val="0"/>
        </w:rPr>
        <w:t xml:space="preserve">Nombre d’employés : </w:t>
      </w:r>
      <w:r w:rsidDel="00000000" w:rsidR="00000000" w:rsidRPr="00000000">
        <w:rPr>
          <w:rtl w:val="0"/>
        </w:rPr>
        <w:t xml:space="preserve">13 (9,5 ETP)</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Site web :</w:t>
      </w:r>
      <w:r w:rsidDel="00000000" w:rsidR="00000000" w:rsidRPr="00000000">
        <w:rPr>
          <w:rtl w:val="0"/>
        </w:rPr>
        <w:t xml:space="preserve"> </w:t>
      </w:r>
      <w:hyperlink r:id="rId6">
        <w:r w:rsidDel="00000000" w:rsidR="00000000" w:rsidRPr="00000000">
          <w:rPr>
            <w:color w:val="1155cc"/>
            <w:u w:val="single"/>
            <w:rtl w:val="0"/>
          </w:rPr>
          <w:t xml:space="preserve">https://www.naturalpad.fr</w:t>
        </w:r>
      </w:hyperlink>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Réseaux sociaux : </w:t>
      </w:r>
    </w:p>
    <w:p w:rsidR="00000000" w:rsidDel="00000000" w:rsidP="00000000" w:rsidRDefault="00000000" w:rsidRPr="00000000" w14:paraId="0000000A">
      <w:pPr>
        <w:numPr>
          <w:ilvl w:val="0"/>
          <w:numId w:val="2"/>
        </w:numPr>
        <w:ind w:left="720" w:hanging="360"/>
        <w:rPr>
          <w:u w:val="none"/>
        </w:rPr>
      </w:pPr>
      <w:r w:rsidDel="00000000" w:rsidR="00000000" w:rsidRPr="00000000">
        <w:rPr>
          <w:rtl w:val="0"/>
        </w:rPr>
        <w:t xml:space="preserve">Facebook : </w:t>
      </w:r>
      <w:hyperlink r:id="rId7">
        <w:r w:rsidDel="00000000" w:rsidR="00000000" w:rsidRPr="00000000">
          <w:rPr>
            <w:color w:val="1155cc"/>
            <w:u w:val="single"/>
            <w:rtl w:val="0"/>
          </w:rPr>
          <w:t xml:space="preserve">https://www.facebook.com/NaturalPad</w:t>
        </w:r>
      </w:hyperlink>
      <w:r w:rsidDel="00000000" w:rsidR="00000000" w:rsidRPr="00000000">
        <w:rPr>
          <w:rtl w:val="0"/>
        </w:rPr>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LinkedIn : </w:t>
      </w:r>
      <w:hyperlink r:id="rId8">
        <w:r w:rsidDel="00000000" w:rsidR="00000000" w:rsidRPr="00000000">
          <w:rPr>
            <w:color w:val="1155cc"/>
            <w:u w:val="single"/>
            <w:rtl w:val="0"/>
          </w:rPr>
          <w:t xml:space="preserve">https://www.linkedin.com/company/naturalpad</w:t>
        </w:r>
      </w:hyperlink>
      <w:r w:rsidDel="00000000" w:rsidR="00000000" w:rsidRPr="00000000">
        <w:rPr>
          <w:rtl w:val="0"/>
        </w:rPr>
        <w:t xml:space="preserve"> </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Youtube : https://www.youtube.com/NaturalPad</w:t>
      </w:r>
    </w:p>
    <w:p w:rsidR="00000000" w:rsidDel="00000000" w:rsidP="00000000" w:rsidRDefault="00000000" w:rsidRPr="00000000" w14:paraId="0000000D">
      <w:pPr>
        <w:ind w:left="0" w:firstLine="0"/>
        <w:rPr>
          <w:b w:val="1"/>
        </w:rPr>
      </w:pPr>
      <w:r w:rsidDel="00000000" w:rsidR="00000000" w:rsidRPr="00000000">
        <w:rPr>
          <w:b w:val="1"/>
          <w:rtl w:val="0"/>
        </w:rPr>
        <w:t xml:space="preserve">Site web produits : </w:t>
      </w:r>
    </w:p>
    <w:p w:rsidR="00000000" w:rsidDel="00000000" w:rsidP="00000000" w:rsidRDefault="00000000" w:rsidRPr="00000000" w14:paraId="0000000E">
      <w:pPr>
        <w:numPr>
          <w:ilvl w:val="0"/>
          <w:numId w:val="3"/>
        </w:numPr>
        <w:ind w:left="720" w:hanging="360"/>
        <w:rPr>
          <w:u w:val="none"/>
        </w:rPr>
      </w:pPr>
      <w:r w:rsidDel="00000000" w:rsidR="00000000" w:rsidRPr="00000000">
        <w:rPr>
          <w:rtl w:val="0"/>
        </w:rPr>
        <w:t xml:space="preserve">MediMoov : </w:t>
      </w:r>
      <w:hyperlink r:id="rId9">
        <w:r w:rsidDel="00000000" w:rsidR="00000000" w:rsidRPr="00000000">
          <w:rPr>
            <w:color w:val="1155cc"/>
            <w:u w:val="single"/>
            <w:rtl w:val="0"/>
          </w:rPr>
          <w:t xml:space="preserve">https://www.medimoov.com</w:t>
        </w:r>
      </w:hyperlink>
      <w:r w:rsidDel="00000000" w:rsidR="00000000" w:rsidRPr="00000000">
        <w:rPr>
          <w:rtl w:val="0"/>
        </w:rPr>
      </w:r>
    </w:p>
    <w:p w:rsidR="00000000" w:rsidDel="00000000" w:rsidP="00000000" w:rsidRDefault="00000000" w:rsidRPr="00000000" w14:paraId="0000000F">
      <w:pPr>
        <w:numPr>
          <w:ilvl w:val="0"/>
          <w:numId w:val="3"/>
        </w:numPr>
        <w:ind w:left="720" w:hanging="360"/>
        <w:rPr>
          <w:u w:val="none"/>
        </w:rPr>
      </w:pPr>
      <w:r w:rsidDel="00000000" w:rsidR="00000000" w:rsidRPr="00000000">
        <w:rPr>
          <w:rtl w:val="0"/>
        </w:rPr>
        <w:t xml:space="preserve">Beat Workers : </w:t>
      </w:r>
      <w:hyperlink r:id="rId10">
        <w:r w:rsidDel="00000000" w:rsidR="00000000" w:rsidRPr="00000000">
          <w:rPr>
            <w:color w:val="1155cc"/>
            <w:u w:val="single"/>
            <w:rtl w:val="0"/>
          </w:rPr>
          <w:t xml:space="preserve">https://www.beatworkers.com</w:t>
        </w:r>
      </w:hyperlink>
      <w:r w:rsidDel="00000000" w:rsidR="00000000" w:rsidRPr="00000000">
        <w:rPr>
          <w:rtl w:val="0"/>
        </w:rPr>
      </w:r>
    </w:p>
    <w:p w:rsidR="00000000" w:rsidDel="00000000" w:rsidP="00000000" w:rsidRDefault="00000000" w:rsidRPr="00000000" w14:paraId="00000010">
      <w:pPr>
        <w:numPr>
          <w:ilvl w:val="0"/>
          <w:numId w:val="3"/>
        </w:numPr>
        <w:ind w:left="720" w:hanging="360"/>
        <w:rPr>
          <w:u w:val="none"/>
        </w:rPr>
      </w:pPr>
      <w:r w:rsidDel="00000000" w:rsidR="00000000" w:rsidRPr="00000000">
        <w:rPr>
          <w:rtl w:val="0"/>
        </w:rPr>
        <w:t xml:space="preserve">Autres : </w:t>
      </w:r>
      <w:hyperlink r:id="rId11">
        <w:r w:rsidDel="00000000" w:rsidR="00000000" w:rsidRPr="00000000">
          <w:rPr>
            <w:color w:val="1155cc"/>
            <w:u w:val="single"/>
            <w:rtl w:val="0"/>
          </w:rPr>
          <w:t xml:space="preserve">https://www.naturalpad.fr/games/</w:t>
        </w:r>
      </w:hyperlink>
      <w:r w:rsidDel="00000000" w:rsidR="00000000" w:rsidRPr="00000000">
        <w:rPr>
          <w:rtl w:val="0"/>
        </w:rPr>
        <w:t xml:space="preserve"> </w:t>
      </w:r>
    </w:p>
    <w:p w:rsidR="00000000" w:rsidDel="00000000" w:rsidP="00000000" w:rsidRDefault="00000000" w:rsidRPr="00000000" w14:paraId="00000011">
      <w:pPr>
        <w:pStyle w:val="Heading1"/>
        <w:rPr/>
      </w:pPr>
      <w:bookmarkStart w:colFirst="0" w:colLast="0" w:name="_p9giodw6d115" w:id="1"/>
      <w:bookmarkEnd w:id="1"/>
      <w:r w:rsidDel="00000000" w:rsidR="00000000" w:rsidRPr="00000000">
        <w:rPr>
          <w:rtl w:val="0"/>
        </w:rPr>
        <w:t xml:space="preserve">Histoire de NaturalPad :</w:t>
      </w:r>
    </w:p>
    <w:p w:rsidR="00000000" w:rsidDel="00000000" w:rsidP="00000000" w:rsidRDefault="00000000" w:rsidRPr="00000000" w14:paraId="00000012">
      <w:pPr>
        <w:rPr/>
      </w:pPr>
      <w:r w:rsidDel="00000000" w:rsidR="00000000" w:rsidRPr="00000000">
        <w:rPr>
          <w:rtl w:val="0"/>
        </w:rPr>
        <w:t xml:space="preserve">Née en 2013, à Montpellier, NaturalPad est issue de la collaboration de 4 docteurs en robotique, informatique et en activité physique adaptée avec pour ambition de faire des jeux vidéo bénéfiques pour la santé. </w:t>
        <w:br w:type="textWrapping"/>
        <w:t xml:space="preserve">Leur premier produit, </w:t>
      </w:r>
      <w:r w:rsidDel="00000000" w:rsidR="00000000" w:rsidRPr="00000000">
        <w:rPr>
          <w:b w:val="1"/>
          <w:rtl w:val="0"/>
        </w:rPr>
        <w:t xml:space="preserve">MediMoov,</w:t>
      </w:r>
      <w:r w:rsidDel="00000000" w:rsidR="00000000" w:rsidRPr="00000000">
        <w:rPr>
          <w:rtl w:val="0"/>
        </w:rPr>
        <w:t xml:space="preserve"> est une plateforme de jeux basés sur le mouvement pour l’activité physique adaptée et la rééducation, conçus en collaboration étroite avec des kinésithérapeutes, des ergothérapeutes et des animateurs en établissements du sanitaire et du médico-social. MediMoov est déployé dans 112 établissements de soins en prévention ou en rééducation.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Chez NaturalPad, on fait des jeux vidéo pour faire du bien. Nos jeux ont tous un impact positif sur la santé, le bien-être et sont développés avec un contexte scientifique fort.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b w:val="1"/>
          <w:rtl w:val="0"/>
        </w:rPr>
        <w:t xml:space="preserve">MediMoov</w:t>
      </w:r>
      <w:r w:rsidDel="00000000" w:rsidR="00000000" w:rsidRPr="00000000">
        <w:rPr>
          <w:rtl w:val="0"/>
        </w:rPr>
        <w:t xml:space="preserve"> fait l’objet de nombreuses études cliniques pour démontrer son efficacité thérapeutique. La </w:t>
      </w:r>
      <w:r w:rsidDel="00000000" w:rsidR="00000000" w:rsidRPr="00000000">
        <w:rPr>
          <w:b w:val="1"/>
          <w:rtl w:val="0"/>
        </w:rPr>
        <w:t xml:space="preserve">BAASTA, Beat Workers</w:t>
      </w:r>
      <w:r w:rsidDel="00000000" w:rsidR="00000000" w:rsidRPr="00000000">
        <w:rPr>
          <w:rtl w:val="0"/>
        </w:rPr>
        <w:t xml:space="preserve"> et </w:t>
      </w:r>
      <w:r w:rsidDel="00000000" w:rsidR="00000000" w:rsidRPr="00000000">
        <w:rPr>
          <w:b w:val="1"/>
          <w:rtl w:val="0"/>
        </w:rPr>
        <w:t xml:space="preserve">aBeat </w:t>
      </w:r>
      <w:r w:rsidDel="00000000" w:rsidR="00000000" w:rsidRPr="00000000">
        <w:rPr>
          <w:rtl w:val="0"/>
        </w:rPr>
        <w:t xml:space="preserve">sont développés avec des chercheurs en neurosciences qui étudient le lien entre rythme et mouvement.</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Créée en 2013, NaturalPad commercialise </w:t>
      </w:r>
      <w:r w:rsidDel="00000000" w:rsidR="00000000" w:rsidRPr="00000000">
        <w:rPr>
          <w:b w:val="1"/>
          <w:rtl w:val="0"/>
        </w:rPr>
        <w:t xml:space="preserve">MediMoov </w:t>
      </w:r>
      <w:r w:rsidDel="00000000" w:rsidR="00000000" w:rsidRPr="00000000">
        <w:rPr>
          <w:rtl w:val="0"/>
        </w:rPr>
        <w:t xml:space="preserve">depuis 2015 après deux ans de R&amp;D clinique. L’entreprise a essentiellement levé des fonds auprès de ses proches à la création et se développe désormais sur son chiffre d'affaires et ses partenariats de recherche. </w:t>
      </w:r>
    </w:p>
    <w:p w:rsidR="00000000" w:rsidDel="00000000" w:rsidP="00000000" w:rsidRDefault="00000000" w:rsidRPr="00000000" w14:paraId="00000019">
      <w:pPr>
        <w:rPr/>
      </w:pPr>
      <w:r w:rsidDel="00000000" w:rsidR="00000000" w:rsidRPr="00000000">
        <w:rPr>
          <w:rtl w:val="0"/>
        </w:rPr>
      </w:r>
    </w:p>
    <w:tbl>
      <w:tblPr>
        <w:tblStyle w:val="Table1"/>
        <w:tblW w:w="900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0"/>
        <w:gridCol w:w="1500"/>
        <w:gridCol w:w="1500"/>
        <w:gridCol w:w="1500"/>
        <w:gridCol w:w="1500"/>
        <w:gridCol w:w="1500"/>
        <w:tblGridChange w:id="0">
          <w:tblGrid>
            <w:gridCol w:w="1500"/>
            <w:gridCol w:w="1500"/>
            <w:gridCol w:w="1500"/>
            <w:gridCol w:w="1500"/>
            <w:gridCol w:w="1500"/>
            <w:gridCol w:w="1500"/>
          </w:tblGrid>
        </w:tblGridChange>
      </w:tblGrid>
      <w:tr>
        <w:trPr>
          <w:trHeight w:val="300" w:hRule="atLeast"/>
        </w:trPr>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1A">
            <w:pPr>
              <w:widowControl w:val="0"/>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2015</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1B">
            <w:pPr>
              <w:widowControl w:val="0"/>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2016</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1C">
            <w:pPr>
              <w:widowControl w:val="0"/>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2017</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1D">
            <w:pPr>
              <w:widowControl w:val="0"/>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2018</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1E">
            <w:pPr>
              <w:widowControl w:val="0"/>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2019</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1F">
            <w:pPr>
              <w:widowControl w:val="0"/>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2020</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20">
            <w:pPr>
              <w:widowControl w:val="0"/>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67 381</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21">
            <w:pPr>
              <w:widowControl w:val="0"/>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102 954</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22">
            <w:pPr>
              <w:widowControl w:val="0"/>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117 634</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23">
            <w:pPr>
              <w:widowControl w:val="0"/>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132 845</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24">
            <w:pPr>
              <w:widowControl w:val="0"/>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148 995</w:t>
            </w:r>
          </w:p>
        </w:tc>
        <w:tc>
          <w:tcPr>
            <w:tcBorders>
              <w:top w:color="cccccc" w:space="0" w:sz="6" w:val="single"/>
              <w:left w:color="cccccc" w:space="0" w:sz="6" w:val="single"/>
              <w:bottom w:color="cccccc" w:space="0" w:sz="6" w:val="single"/>
              <w:right w:color="cccccc" w:space="0" w:sz="6" w:val="single"/>
            </w:tcBorders>
            <w:tcMar>
              <w:top w:w="0.0" w:type="dxa"/>
              <w:left w:w="40.0" w:type="dxa"/>
              <w:bottom w:w="0.0" w:type="dxa"/>
              <w:right w:w="40.0" w:type="dxa"/>
            </w:tcMar>
            <w:vAlign w:val="bottom"/>
          </w:tcPr>
          <w:p w:rsidR="00000000" w:rsidDel="00000000" w:rsidP="00000000" w:rsidRDefault="00000000" w:rsidRPr="00000000" w14:paraId="00000025">
            <w:pPr>
              <w:widowControl w:val="0"/>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151 980</w:t>
            </w:r>
          </w:p>
        </w:tc>
      </w:tr>
    </w:tbl>
    <w:p w:rsidR="00000000" w:rsidDel="00000000" w:rsidP="00000000" w:rsidRDefault="00000000" w:rsidRPr="00000000" w14:paraId="00000026">
      <w:pPr>
        <w:jc w:val="center"/>
        <w:rPr/>
      </w:pPr>
      <w:r w:rsidDel="00000000" w:rsidR="00000000" w:rsidRPr="00000000">
        <w:rPr>
          <w:rtl w:val="0"/>
        </w:rPr>
        <w:t xml:space="preserve">évolution du CA depuis 2015</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Fortement soutenue par la région Occitanie, NaturalPad est aussi accompagnée par la SATT axLR, le CNC, la BPI et les acteurs du monde mutualiste : Malakoff Humanis, la Macif.</w:t>
      </w:r>
    </w:p>
    <w:p w:rsidR="00000000" w:rsidDel="00000000" w:rsidP="00000000" w:rsidRDefault="00000000" w:rsidRPr="00000000" w14:paraId="00000029">
      <w:pPr>
        <w:rPr/>
      </w:pPr>
      <w:r w:rsidDel="00000000" w:rsidR="00000000" w:rsidRPr="00000000">
        <w:rPr>
          <w:rtl w:val="0"/>
        </w:rPr>
        <w:t xml:space="preserve">NaturalPad s’entoure de partenaires de terrain : fondation Hopale, APF, CapGame, CHU de Montpellier, CHU de Nîmes, hôpitaux de Toulouse, hôpitaux de St Maurice, Orpea, Adef Résidences…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Depuis 2018, NaturalPad étoffe son catalogue produit. </w:t>
      </w:r>
      <w:r w:rsidDel="00000000" w:rsidR="00000000" w:rsidRPr="00000000">
        <w:rPr>
          <w:b w:val="1"/>
          <w:rtl w:val="0"/>
        </w:rPr>
        <w:t xml:space="preserve">Zether</w:t>
      </w:r>
      <w:r w:rsidDel="00000000" w:rsidR="00000000" w:rsidRPr="00000000">
        <w:rPr>
          <w:rtl w:val="0"/>
        </w:rPr>
        <w:t xml:space="preserve"> est un jeu en VR conçu avec des personnes atteintes de tétraplégie de l</w:t>
      </w:r>
      <w:r w:rsidDel="00000000" w:rsidR="00000000" w:rsidRPr="00000000">
        <w:rPr>
          <w:u w:val="single"/>
          <w:rtl w:val="0"/>
        </w:rPr>
        <w:t xml:space="preserve">’APF</w:t>
      </w:r>
      <w:r w:rsidDel="00000000" w:rsidR="00000000" w:rsidRPr="00000000">
        <w:rPr>
          <w:rtl w:val="0"/>
        </w:rPr>
        <w:t xml:space="preserve">. La </w:t>
      </w:r>
      <w:r w:rsidDel="00000000" w:rsidR="00000000" w:rsidRPr="00000000">
        <w:rPr>
          <w:b w:val="1"/>
          <w:rtl w:val="0"/>
        </w:rPr>
        <w:t xml:space="preserve">BAASTA</w:t>
      </w:r>
      <w:r w:rsidDel="00000000" w:rsidR="00000000" w:rsidRPr="00000000">
        <w:rPr>
          <w:rtl w:val="0"/>
        </w:rPr>
        <w:t xml:space="preserve"> et </w:t>
      </w:r>
      <w:r w:rsidDel="00000000" w:rsidR="00000000" w:rsidRPr="00000000">
        <w:rPr>
          <w:b w:val="1"/>
          <w:rtl w:val="0"/>
        </w:rPr>
        <w:t xml:space="preserve">Beat Workers</w:t>
      </w:r>
      <w:r w:rsidDel="00000000" w:rsidR="00000000" w:rsidRPr="00000000">
        <w:rPr>
          <w:rtl w:val="0"/>
        </w:rPr>
        <w:t xml:space="preserve"> sont développés avec le </w:t>
      </w:r>
      <w:r w:rsidDel="00000000" w:rsidR="00000000" w:rsidRPr="00000000">
        <w:rPr>
          <w:u w:val="single"/>
          <w:rtl w:val="0"/>
        </w:rPr>
        <w:t xml:space="preserve">Brams</w:t>
      </w:r>
      <w:r w:rsidDel="00000000" w:rsidR="00000000" w:rsidRPr="00000000">
        <w:rPr>
          <w:rtl w:val="0"/>
        </w:rPr>
        <w:t xml:space="preserve">, </w:t>
      </w:r>
      <w:r w:rsidDel="00000000" w:rsidR="00000000" w:rsidRPr="00000000">
        <w:rPr>
          <w:u w:val="single"/>
          <w:rtl w:val="0"/>
        </w:rPr>
        <w:t xml:space="preserve">l’Université de Montpellier</w:t>
      </w:r>
      <w:r w:rsidDel="00000000" w:rsidR="00000000" w:rsidRPr="00000000">
        <w:rPr>
          <w:rtl w:val="0"/>
        </w:rPr>
        <w:t xml:space="preserve"> et le Prof. </w:t>
      </w:r>
      <w:r w:rsidDel="00000000" w:rsidR="00000000" w:rsidRPr="00000000">
        <w:rPr>
          <w:u w:val="single"/>
          <w:rtl w:val="0"/>
        </w:rPr>
        <w:t xml:space="preserve">Simone Dalla Bella</w:t>
      </w:r>
      <w:r w:rsidDel="00000000" w:rsidR="00000000" w:rsidRPr="00000000">
        <w:rPr>
          <w:rtl w:val="0"/>
        </w:rPr>
        <w:t xml:space="preserve"> dans le contexte de la prise en charge de patients atteints de la maladie de Parkinson. La </w:t>
      </w:r>
      <w:r w:rsidDel="00000000" w:rsidR="00000000" w:rsidRPr="00000000">
        <w:rPr>
          <w:b w:val="1"/>
          <w:rtl w:val="0"/>
        </w:rPr>
        <w:t xml:space="preserve">BAASTA</w:t>
      </w:r>
      <w:r w:rsidDel="00000000" w:rsidR="00000000" w:rsidRPr="00000000">
        <w:rPr>
          <w:rtl w:val="0"/>
        </w:rPr>
        <w:t xml:space="preserve"> permet de mesurer les capacités rythmiques alors que </w:t>
      </w:r>
      <w:r w:rsidDel="00000000" w:rsidR="00000000" w:rsidRPr="00000000">
        <w:rPr>
          <w:b w:val="1"/>
          <w:rtl w:val="0"/>
        </w:rPr>
        <w:t xml:space="preserve">Beat Workers</w:t>
      </w:r>
      <w:r w:rsidDel="00000000" w:rsidR="00000000" w:rsidRPr="00000000">
        <w:rPr>
          <w:rtl w:val="0"/>
        </w:rPr>
        <w:t xml:space="preserve"> permet d’entraîner ses capacités rythmiques. </w:t>
      </w:r>
      <w:r w:rsidDel="00000000" w:rsidR="00000000" w:rsidRPr="00000000">
        <w:rPr>
          <w:b w:val="1"/>
          <w:rtl w:val="0"/>
        </w:rPr>
        <w:t xml:space="preserve">aBeat</w:t>
      </w:r>
      <w:r w:rsidDel="00000000" w:rsidR="00000000" w:rsidRPr="00000000">
        <w:rPr>
          <w:rtl w:val="0"/>
        </w:rPr>
        <w:t xml:space="preserve"> est développé avec le chercheur </w:t>
      </w:r>
      <w:r w:rsidDel="00000000" w:rsidR="00000000" w:rsidRPr="00000000">
        <w:rPr>
          <w:u w:val="single"/>
          <w:rtl w:val="0"/>
        </w:rPr>
        <w:t xml:space="preserve">Charles Etienne Benoit</w:t>
      </w:r>
      <w:r w:rsidDel="00000000" w:rsidR="00000000" w:rsidRPr="00000000">
        <w:rPr>
          <w:rtl w:val="0"/>
        </w:rPr>
        <w:t xml:space="preserve"> et permet de synchroniser sa marche sur un stimulus rythmique auditif. </w:t>
      </w:r>
    </w:p>
    <w:p w:rsidR="00000000" w:rsidDel="00000000" w:rsidP="00000000" w:rsidRDefault="00000000" w:rsidRPr="00000000" w14:paraId="0000002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color w:val="0b5394"/>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jc w:val="center"/>
    </w:pPr>
    <w:rPr>
      <w:b w:val="1"/>
      <w:sz w:val="52"/>
      <w:szCs w:val="52"/>
    </w:rPr>
  </w:style>
  <w:style w:type="paragraph" w:styleId="Subtitle">
    <w:name w:val="Subtitle"/>
    <w:basedOn w:val="Normal"/>
    <w:next w:val="Normal"/>
    <w:pPr>
      <w:keepNext w:val="1"/>
      <w:keepLines w:val="1"/>
      <w:spacing w:after="320" w:lineRule="auto"/>
      <w:jc w:val="center"/>
    </w:pPr>
    <w:rPr>
      <w:rFonts w:ascii="Calibri" w:cs="Calibri" w:eastAsia="Calibri" w:hAnsi="Calibri"/>
      <w:color w:val="6fa8dc"/>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naturalpad.fr/games/" TargetMode="External"/><Relationship Id="rId10" Type="http://schemas.openxmlformats.org/officeDocument/2006/relationships/hyperlink" Target="https://www.beatworkers.com" TargetMode="External"/><Relationship Id="rId9" Type="http://schemas.openxmlformats.org/officeDocument/2006/relationships/hyperlink" Target="https://www.medimoov.com" TargetMode="External"/><Relationship Id="rId5" Type="http://schemas.openxmlformats.org/officeDocument/2006/relationships/styles" Target="styles.xml"/><Relationship Id="rId6" Type="http://schemas.openxmlformats.org/officeDocument/2006/relationships/hyperlink" Target="https://www.naturalpad.fr" TargetMode="External"/><Relationship Id="rId7" Type="http://schemas.openxmlformats.org/officeDocument/2006/relationships/hyperlink" Target="https://www.facebook.com/NaturalPad" TargetMode="External"/><Relationship Id="rId8" Type="http://schemas.openxmlformats.org/officeDocument/2006/relationships/hyperlink" Target="https://www.linkedin.com/company/naturalp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